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32" w:rsidRDefault="00966AA8" w:rsidP="009B7332">
      <w:pPr>
        <w:rPr>
          <w:b/>
          <w:sz w:val="28"/>
          <w:szCs w:val="28"/>
          <w:lang w:val="ky-KG"/>
        </w:rPr>
      </w:pPr>
      <w:r w:rsidRPr="005E3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9B7332" w:rsidRPr="00F16BAE">
        <w:rPr>
          <w:sz w:val="28"/>
          <w:szCs w:val="28"/>
          <w:lang w:val="ky-KG"/>
        </w:rPr>
        <w:t>Государственный институт сейсмостойкого строительств</w:t>
      </w:r>
      <w:r w:rsidR="009B7332" w:rsidRPr="00F16BAE">
        <w:rPr>
          <w:sz w:val="28"/>
          <w:szCs w:val="28"/>
        </w:rPr>
        <w:t>а</w:t>
      </w:r>
      <w:r w:rsidR="009B7332" w:rsidRPr="00F16BAE">
        <w:rPr>
          <w:sz w:val="28"/>
          <w:szCs w:val="28"/>
          <w:lang w:val="ky-KG"/>
        </w:rPr>
        <w:t xml:space="preserve"> и инженерного проектирования настоящим направляе</w:t>
      </w:r>
      <w:r w:rsidR="009B7332" w:rsidRPr="00F16BAE">
        <w:rPr>
          <w:sz w:val="28"/>
          <w:szCs w:val="28"/>
        </w:rPr>
        <w:t>т</w:t>
      </w:r>
      <w:r w:rsidR="009B7332" w:rsidRPr="00F16BAE">
        <w:rPr>
          <w:sz w:val="28"/>
          <w:szCs w:val="28"/>
          <w:lang w:val="ky-KG"/>
        </w:rPr>
        <w:t xml:space="preserve"> отчет о деятельности Института </w:t>
      </w:r>
      <w:r w:rsidR="009B7332">
        <w:rPr>
          <w:rFonts w:ascii="Times New Roman" w:hAnsi="Times New Roman" w:cs="Times New Roman"/>
          <w:b/>
          <w:sz w:val="28"/>
          <w:szCs w:val="28"/>
          <w:lang w:val="ky-KG"/>
        </w:rPr>
        <w:t>с 8 января по 31 июл</w:t>
      </w:r>
      <w:r w:rsidR="009B7332" w:rsidRPr="00652986">
        <w:rPr>
          <w:rFonts w:ascii="Times New Roman" w:hAnsi="Times New Roman" w:cs="Times New Roman"/>
          <w:b/>
          <w:sz w:val="28"/>
          <w:szCs w:val="28"/>
          <w:lang w:val="ky-KG"/>
        </w:rPr>
        <w:t>я</w:t>
      </w:r>
      <w:r w:rsidR="009B7332" w:rsidRPr="00F16BAE">
        <w:rPr>
          <w:b/>
          <w:sz w:val="28"/>
          <w:szCs w:val="28"/>
          <w:lang w:val="ky-KG"/>
        </w:rPr>
        <w:t xml:space="preserve"> месяцы 2025 года.</w:t>
      </w:r>
    </w:p>
    <w:p w:rsidR="009B7332" w:rsidRPr="009B7332" w:rsidRDefault="009B7332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966AA8" w:rsidRPr="0065298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За период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 8 января по 31 июл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я 2025 года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Институтом проведены инженерные обследования и выданы </w:t>
      </w:r>
      <w:r w:rsidRPr="00652986">
        <w:rPr>
          <w:rFonts w:ascii="Times New Roman" w:hAnsi="Times New Roman" w:cs="Times New Roman"/>
          <w:sz w:val="28"/>
          <w:szCs w:val="28"/>
        </w:rPr>
        <w:t xml:space="preserve">Технические заключения (ТЗ) на техническое состояние и сейсмостойкость зданий и сооружений </w:t>
      </w:r>
      <w:r w:rsidRPr="0065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369</w:t>
      </w:r>
      <w:r w:rsidRPr="00652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ТЗ</w:t>
      </w:r>
      <w:r w:rsidRPr="0065298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.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5E3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 01 июля  по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31 июля 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2025  года выдано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–   58  ТЗ.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из них:</w:t>
      </w:r>
    </w:p>
    <w:p w:rsidR="00AF095D" w:rsidRPr="00AF095D" w:rsidRDefault="00966AA8" w:rsidP="00AF28BD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AF095D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AF095D">
        <w:rPr>
          <w:rFonts w:ascii="Times New Roman" w:hAnsi="Times New Roman" w:cs="Times New Roman"/>
          <w:sz w:val="26"/>
          <w:szCs w:val="26"/>
        </w:rPr>
        <w:t xml:space="preserve">строительных конструкций переходной галереи средней школы им. А.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Калыбаева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Таласская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 обл., с. Ак-Жар, ул.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Мырсалы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уулу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Чотон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 №33.  </w:t>
      </w:r>
    </w:p>
    <w:p w:rsidR="00966AA8" w:rsidRPr="00AF095D" w:rsidRDefault="00966AA8" w:rsidP="00AF28BD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AF095D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AF095D">
        <w:rPr>
          <w:rFonts w:ascii="Times New Roman" w:hAnsi="Times New Roman" w:cs="Times New Roman"/>
          <w:sz w:val="26"/>
          <w:szCs w:val="26"/>
        </w:rPr>
        <w:t xml:space="preserve">строительных конструкций объекта:  «Многоэтажный жилой дом с подземным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автопаркингом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 по ул. Севастопольская, 33/1, </w:t>
      </w:r>
      <w:r w:rsidRPr="00AF095D">
        <w:rPr>
          <w:rFonts w:ascii="Times New Roman" w:hAnsi="Times New Roman" w:cs="Times New Roman"/>
          <w:sz w:val="26"/>
          <w:szCs w:val="26"/>
          <w:lang w:val="ky-KG"/>
        </w:rPr>
        <w:t>(</w:t>
      </w:r>
      <w:proofErr w:type="spellStart"/>
      <w:r w:rsidR="00AF095D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="00AF095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F095D">
        <w:rPr>
          <w:rFonts w:ascii="Times New Roman" w:hAnsi="Times New Roman" w:cs="Times New Roman"/>
          <w:sz w:val="26"/>
          <w:szCs w:val="26"/>
        </w:rPr>
        <w:t>Толман</w:t>
      </w:r>
      <w:proofErr w:type="spellEnd"/>
      <w:r w:rsidR="00AF095D">
        <w:rPr>
          <w:rFonts w:ascii="Times New Roman" w:hAnsi="Times New Roman" w:cs="Times New Roman"/>
          <w:sz w:val="26"/>
          <w:szCs w:val="26"/>
        </w:rPr>
        <w:t xml:space="preserve"> Строй»).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 xml:space="preserve">здания «Детской школы искусств №2», по адресу: г. Бишкек, ул. Димитрова, 12. </w:t>
      </w:r>
    </w:p>
    <w:p w:rsidR="00AF095D" w:rsidRDefault="00966AA8" w:rsidP="00343621">
      <w:pPr>
        <w:pStyle w:val="a3"/>
        <w:numPr>
          <w:ilvl w:val="0"/>
          <w:numId w:val="1"/>
        </w:numPr>
        <w:spacing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AF095D">
        <w:rPr>
          <w:rFonts w:ascii="Times New Roman" w:hAnsi="Times New Roman" w:cs="Times New Roman"/>
          <w:sz w:val="26"/>
          <w:szCs w:val="26"/>
          <w:lang w:val="ky-KG"/>
        </w:rPr>
        <w:t>Инженерное обследование  здания Республиканского диагностического лечебного центра КГМА им. И.Ахунбаева (блок Б), (</w:t>
      </w:r>
      <w:r w:rsidRPr="00AF095D">
        <w:rPr>
          <w:rFonts w:ascii="Times New Roman" w:hAnsi="Times New Roman" w:cs="Times New Roman"/>
          <w:sz w:val="26"/>
          <w:szCs w:val="26"/>
        </w:rPr>
        <w:t xml:space="preserve">КГМА им. И. </w:t>
      </w:r>
      <w:proofErr w:type="spellStart"/>
      <w:r w:rsidRPr="00AF095D">
        <w:rPr>
          <w:rFonts w:ascii="Times New Roman" w:hAnsi="Times New Roman" w:cs="Times New Roman"/>
          <w:sz w:val="26"/>
          <w:szCs w:val="26"/>
        </w:rPr>
        <w:t>Ахунбаева</w:t>
      </w:r>
      <w:proofErr w:type="spellEnd"/>
      <w:r w:rsidRPr="00AF095D">
        <w:rPr>
          <w:rFonts w:ascii="Times New Roman" w:hAnsi="Times New Roman" w:cs="Times New Roman"/>
          <w:sz w:val="26"/>
          <w:szCs w:val="26"/>
        </w:rPr>
        <w:t xml:space="preserve">), </w:t>
      </w:r>
      <w:r w:rsidRPr="00AF095D">
        <w:rPr>
          <w:rFonts w:ascii="Times New Roman" w:hAnsi="Times New Roman" w:cs="Times New Roman"/>
          <w:sz w:val="26"/>
          <w:szCs w:val="26"/>
          <w:lang w:val="ky-KG"/>
        </w:rPr>
        <w:t xml:space="preserve">по адресу: г. Бишкек, ул. Киевская, №27.   </w:t>
      </w:r>
    </w:p>
    <w:p w:rsidR="00966AA8" w:rsidRPr="00AF095D" w:rsidRDefault="00966AA8" w:rsidP="00343621">
      <w:pPr>
        <w:pStyle w:val="a3"/>
        <w:numPr>
          <w:ilvl w:val="0"/>
          <w:numId w:val="1"/>
        </w:numPr>
        <w:spacing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AF095D">
        <w:rPr>
          <w:rFonts w:ascii="Times New Roman" w:hAnsi="Times New Roman" w:cs="Times New Roman"/>
          <w:sz w:val="26"/>
          <w:szCs w:val="26"/>
          <w:lang w:val="ky-KG"/>
        </w:rPr>
        <w:t>Инженерное обследование  здания Таласской областной объединенной больницы им. Ч. Мамбетова, по адресу: г. Талас, ул. Ч. Айтматова, №257</w:t>
      </w:r>
      <w:r w:rsidR="00A944A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 xml:space="preserve">здания стационара Национального центра кардиологии и терапии им. Академика М.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Ми</w:t>
      </w:r>
      <w:r w:rsidR="00A944AB">
        <w:rPr>
          <w:rFonts w:ascii="Times New Roman" w:hAnsi="Times New Roman" w:cs="Times New Roman"/>
          <w:sz w:val="26"/>
          <w:szCs w:val="26"/>
        </w:rPr>
        <w:t>ррахимова</w:t>
      </w:r>
      <w:proofErr w:type="spellEnd"/>
      <w:r w:rsidR="00A944AB">
        <w:rPr>
          <w:rFonts w:ascii="Times New Roman" w:hAnsi="Times New Roman" w:cs="Times New Roman"/>
          <w:sz w:val="26"/>
          <w:szCs w:val="26"/>
        </w:rPr>
        <w:t xml:space="preserve">, на перевале </w:t>
      </w:r>
      <w:proofErr w:type="spellStart"/>
      <w:r w:rsidR="00A944AB">
        <w:rPr>
          <w:rFonts w:ascii="Times New Roman" w:hAnsi="Times New Roman" w:cs="Times New Roman"/>
          <w:sz w:val="26"/>
          <w:szCs w:val="26"/>
        </w:rPr>
        <w:t>Тоо-Ашуу</w:t>
      </w:r>
      <w:proofErr w:type="spellEnd"/>
      <w:r w:rsidR="00A944AB">
        <w:rPr>
          <w:rFonts w:ascii="Times New Roman" w:hAnsi="Times New Roman" w:cs="Times New Roman"/>
          <w:sz w:val="26"/>
          <w:szCs w:val="26"/>
        </w:rPr>
        <w:t>.</w:t>
      </w:r>
      <w:r w:rsidRPr="007E17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6AA8" w:rsidRPr="007E1756" w:rsidRDefault="00966AA8" w:rsidP="00966AA8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66AA8" w:rsidRPr="007E1756" w:rsidRDefault="00966AA8" w:rsidP="00966AA8">
      <w:pPr>
        <w:pStyle w:val="a3"/>
        <w:spacing w:line="24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</w:p>
    <w:p w:rsidR="00966AA8" w:rsidRPr="007E1756" w:rsidRDefault="00966AA8" w:rsidP="00966AA8">
      <w:pPr>
        <w:pStyle w:val="a3"/>
        <w:spacing w:line="240" w:lineRule="auto"/>
        <w:ind w:left="-284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</w:rPr>
        <w:t xml:space="preserve">Общее количество выполненных Технических заключений (ТЗ) с 8 января по 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30 июля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5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года составило – 369 ТЗ.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             Обследованные здания и сооружения в разрезе по назначениям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i/>
          <w:sz w:val="26"/>
          <w:szCs w:val="26"/>
          <w:lang w:val="ky-KG"/>
        </w:rPr>
        <w:t xml:space="preserve">                                                                                               Таблица №1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418"/>
        <w:gridCol w:w="1134"/>
        <w:gridCol w:w="1275"/>
        <w:gridCol w:w="1134"/>
        <w:gridCol w:w="851"/>
      </w:tblGrid>
      <w:tr w:rsidR="00966AA8" w:rsidRPr="007E1756" w:rsidTr="003F6279">
        <w:tc>
          <w:tcPr>
            <w:tcW w:w="2552" w:type="dxa"/>
          </w:tcPr>
          <w:p w:rsidR="00966AA8" w:rsidRPr="007E1756" w:rsidRDefault="00966AA8" w:rsidP="003F6279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Виды объектов по</w:t>
            </w:r>
          </w:p>
          <w:p w:rsidR="00966AA8" w:rsidRPr="007E1756" w:rsidRDefault="00966AA8" w:rsidP="003F6279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функциональному назначению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Всего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Жилые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Нежилые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Админ.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здания</w:t>
            </w:r>
          </w:p>
        </w:tc>
        <w:tc>
          <w:tcPr>
            <w:tcW w:w="1275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Социал.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объекты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Произ.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объек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ты</w:t>
            </w:r>
          </w:p>
        </w:tc>
        <w:tc>
          <w:tcPr>
            <w:tcW w:w="851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 Про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 чие</w:t>
            </w:r>
          </w:p>
        </w:tc>
      </w:tr>
      <w:tr w:rsidR="00966AA8" w:rsidRPr="007E1756" w:rsidTr="003F6279">
        <w:tc>
          <w:tcPr>
            <w:tcW w:w="2552" w:type="dxa"/>
          </w:tcPr>
          <w:p w:rsidR="00966AA8" w:rsidRPr="007E1756" w:rsidRDefault="00966AA8" w:rsidP="003F62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Обследовано ТЗ</w:t>
            </w:r>
          </w:p>
          <w:p w:rsidR="00966AA8" w:rsidRPr="007E1756" w:rsidRDefault="00966AA8" w:rsidP="003F62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(январь – июль 2025г.)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369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121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78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53</w:t>
            </w:r>
          </w:p>
        </w:tc>
        <w:tc>
          <w:tcPr>
            <w:tcW w:w="1275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90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16</w:t>
            </w:r>
          </w:p>
        </w:tc>
        <w:tc>
          <w:tcPr>
            <w:tcW w:w="851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</w:tr>
    </w:tbl>
    <w:p w:rsidR="00966AA8" w:rsidRPr="007E1756" w:rsidRDefault="00966AA8" w:rsidP="00966A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66AA8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период с 08 января по 31 июл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я  2025 года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Институтом </w:t>
      </w:r>
      <w:r w:rsidRPr="00652986">
        <w:rPr>
          <w:rFonts w:ascii="Times New Roman" w:hAnsi="Times New Roman" w:cs="Times New Roman"/>
          <w:sz w:val="28"/>
          <w:szCs w:val="28"/>
        </w:rPr>
        <w:t xml:space="preserve">разработаны и выданы Специальные Технические условия (СТУ) на проектирование в количестве </w:t>
      </w:r>
      <w:r w:rsidRPr="0065298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52986">
        <w:rPr>
          <w:rFonts w:ascii="Times New Roman" w:hAnsi="Times New Roman" w:cs="Times New Roman"/>
          <w:sz w:val="28"/>
          <w:szCs w:val="28"/>
        </w:rPr>
        <w:t xml:space="preserve"> </w:t>
      </w:r>
      <w:r w:rsidRPr="006529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52986">
        <w:rPr>
          <w:rFonts w:ascii="Times New Roman" w:hAnsi="Times New Roman" w:cs="Times New Roman"/>
          <w:sz w:val="28"/>
          <w:szCs w:val="28"/>
        </w:rPr>
        <w:t xml:space="preserve"> </w:t>
      </w:r>
      <w:r w:rsidRPr="00652986">
        <w:rPr>
          <w:rFonts w:ascii="Times New Roman" w:hAnsi="Times New Roman" w:cs="Times New Roman"/>
          <w:b/>
          <w:sz w:val="28"/>
          <w:szCs w:val="28"/>
        </w:rPr>
        <w:t>СТУ.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652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 01 июля  по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 31 июля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2025  года выдано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–   6 СТУ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из них: </w:t>
      </w:r>
    </w:p>
    <w:p w:rsidR="00966AA8" w:rsidRPr="007E1756" w:rsidRDefault="00966AA8" w:rsidP="00966AA8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Специальные технические условия на проектирование 5-этажные апартаменты с парко-пляжной зоной на территории комплекса отдыха и туризма “Ак Бермет” по адресу: Иссык-Кульская область г. Чолпон-Ата, (Блок А, В, С, Д), </w:t>
      </w:r>
      <w:r w:rsidRPr="007E175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«Кап Строй Кей Джи</w:t>
      </w:r>
      <w:r w:rsidR="00A944AB" w:rsidRPr="00A944AB">
        <w:rPr>
          <w:rFonts w:ascii="Times New Roman" w:hAnsi="Times New Roman" w:cs="Times New Roman"/>
          <w:sz w:val="26"/>
          <w:szCs w:val="26"/>
        </w:rPr>
        <w:t>.</w:t>
      </w:r>
    </w:p>
    <w:p w:rsidR="00A944AB" w:rsidRPr="00A944AB" w:rsidRDefault="00966AA8" w:rsidP="00DB0851">
      <w:pPr>
        <w:pStyle w:val="a3"/>
        <w:numPr>
          <w:ilvl w:val="0"/>
          <w:numId w:val="2"/>
        </w:numPr>
        <w:spacing w:before="240"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4AB">
        <w:rPr>
          <w:rFonts w:ascii="Times New Roman" w:hAnsi="Times New Roman" w:cs="Times New Roman"/>
          <w:sz w:val="26"/>
          <w:szCs w:val="26"/>
          <w:lang w:val="ky-KG"/>
        </w:rPr>
        <w:t xml:space="preserve">Специальные технические условия на проектирование </w:t>
      </w:r>
      <w:r w:rsidRPr="00A944AB">
        <w:rPr>
          <w:rFonts w:ascii="Times New Roman" w:hAnsi="Times New Roman" w:cs="Times New Roman"/>
          <w:sz w:val="26"/>
          <w:szCs w:val="26"/>
        </w:rPr>
        <w:t xml:space="preserve"> </w:t>
      </w:r>
      <w:r w:rsidRPr="00A944AB">
        <w:rPr>
          <w:rFonts w:ascii="Times New Roman" w:hAnsi="Times New Roman" w:cs="Times New Roman"/>
          <w:sz w:val="26"/>
          <w:szCs w:val="26"/>
          <w:lang w:val="ky-KG"/>
        </w:rPr>
        <w:t xml:space="preserve">объекта: 4-х этажный апарт-отель с инженерными сетями в г. Чолпон-Ата, район городского пляжа “Азан”. </w:t>
      </w:r>
      <w:r w:rsidRPr="00A944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944AB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A944A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944AB">
        <w:rPr>
          <w:rFonts w:ascii="Times New Roman" w:hAnsi="Times New Roman" w:cs="Times New Roman"/>
          <w:sz w:val="26"/>
          <w:szCs w:val="26"/>
        </w:rPr>
        <w:t>Тундук</w:t>
      </w:r>
      <w:proofErr w:type="spellEnd"/>
      <w:r w:rsidRPr="00A944AB">
        <w:rPr>
          <w:rFonts w:ascii="Times New Roman" w:hAnsi="Times New Roman" w:cs="Times New Roman"/>
          <w:sz w:val="26"/>
          <w:szCs w:val="26"/>
        </w:rPr>
        <w:t xml:space="preserve"> Инвест»)</w:t>
      </w:r>
      <w:r w:rsidR="00A944AB" w:rsidRPr="00A944AB">
        <w:rPr>
          <w:rFonts w:ascii="Times New Roman" w:hAnsi="Times New Roman" w:cs="Times New Roman"/>
          <w:sz w:val="26"/>
          <w:szCs w:val="26"/>
        </w:rPr>
        <w:t>.</w:t>
      </w:r>
      <w:r w:rsidRPr="00A944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AA8" w:rsidRPr="00A944AB" w:rsidRDefault="00966AA8" w:rsidP="00A944AB">
      <w:pPr>
        <w:pStyle w:val="a3"/>
        <w:spacing w:before="240" w:after="0" w:line="240" w:lineRule="auto"/>
        <w:ind w:left="-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4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Общее количество выполненных специальных технических условий (СТУ) с 8 января по </w:t>
      </w:r>
      <w:r w:rsidRPr="00A944AB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30 </w:t>
      </w:r>
      <w:r w:rsidR="00A944AB" w:rsidRPr="00A944AB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июля </w:t>
      </w:r>
      <w:r w:rsidR="00A944AB" w:rsidRPr="00A944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2025</w:t>
      </w:r>
      <w:r w:rsidRPr="00A944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составило – </w:t>
      </w:r>
      <w:r w:rsidRPr="00A944AB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57 </w:t>
      </w:r>
      <w:r w:rsidRPr="00A944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СТУ.</w:t>
      </w:r>
    </w:p>
    <w:p w:rsidR="00966AA8" w:rsidRPr="007E1756" w:rsidRDefault="00966AA8" w:rsidP="00966AA8">
      <w:pPr>
        <w:pStyle w:val="a3"/>
        <w:spacing w:line="240" w:lineRule="auto"/>
        <w:ind w:left="-284" w:firstLine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</w:rPr>
        <w:t xml:space="preserve">                        Разработанные СТУ в разрезе по назначениям</w:t>
      </w:r>
      <w:r w:rsidRPr="007E175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66AA8" w:rsidRPr="007E1756" w:rsidRDefault="00966AA8" w:rsidP="00966AA8">
      <w:pPr>
        <w:pStyle w:val="a3"/>
        <w:spacing w:line="240" w:lineRule="auto"/>
        <w:ind w:left="-284" w:firstLine="28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175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Таблица №2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850"/>
        <w:gridCol w:w="1418"/>
        <w:gridCol w:w="1134"/>
        <w:gridCol w:w="1559"/>
        <w:gridCol w:w="1276"/>
      </w:tblGrid>
      <w:tr w:rsidR="00966AA8" w:rsidRPr="007E1756" w:rsidTr="003F6279">
        <w:trPr>
          <w:trHeight w:val="871"/>
        </w:trPr>
        <w:tc>
          <w:tcPr>
            <w:tcW w:w="3545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Виды объектов по функциональному назначению</w:t>
            </w:r>
          </w:p>
        </w:tc>
        <w:tc>
          <w:tcPr>
            <w:tcW w:w="850" w:type="dxa"/>
          </w:tcPr>
          <w:p w:rsidR="00966AA8" w:rsidRPr="007E1756" w:rsidRDefault="00966AA8" w:rsidP="003F6279">
            <w:pPr>
              <w:ind w:left="-284" w:right="-126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Жилые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Админ.</w:t>
            </w:r>
          </w:p>
        </w:tc>
        <w:tc>
          <w:tcPr>
            <w:tcW w:w="1559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</w:t>
            </w:r>
            <w:proofErr w:type="spellEnd"/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Прочие</w:t>
            </w:r>
          </w:p>
        </w:tc>
      </w:tr>
      <w:tr w:rsidR="00966AA8" w:rsidRPr="007E1756" w:rsidTr="003F6279">
        <w:trPr>
          <w:trHeight w:val="847"/>
        </w:trPr>
        <w:tc>
          <w:tcPr>
            <w:tcW w:w="3545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Разработано СТУ</w:t>
            </w:r>
          </w:p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(январь – июль 2025г.)</w:t>
            </w:r>
          </w:p>
        </w:tc>
        <w:tc>
          <w:tcPr>
            <w:tcW w:w="850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57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28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  <w:tc>
          <w:tcPr>
            <w:tcW w:w="1559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1276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</w:tr>
    </w:tbl>
    <w:p w:rsidR="00966AA8" w:rsidRPr="007E1756" w:rsidRDefault="00966AA8" w:rsidP="00966AA8">
      <w:pPr>
        <w:spacing w:before="240" w:after="0" w:line="240" w:lineRule="auto"/>
        <w:ind w:left="-284" w:firstLine="283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966AA8" w:rsidRPr="007E1756" w:rsidRDefault="00966AA8" w:rsidP="00966AA8">
      <w:pPr>
        <w:spacing w:before="240" w:after="0" w:line="240" w:lineRule="auto"/>
        <w:ind w:left="-284" w:firstLine="28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По </w:t>
      </w:r>
      <w:proofErr w:type="spellStart"/>
      <w:r w:rsidRPr="007E1756">
        <w:rPr>
          <w:rFonts w:ascii="Times New Roman" w:hAnsi="Times New Roman" w:cs="Times New Roman"/>
          <w:b/>
          <w:sz w:val="26"/>
          <w:szCs w:val="26"/>
        </w:rPr>
        <w:t>поручени</w:t>
      </w:r>
      <w:proofErr w:type="spellEnd"/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ю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Минстроя  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КР </w:t>
      </w:r>
      <w:r w:rsidRPr="007E1756">
        <w:rPr>
          <w:rFonts w:ascii="Times New Roman" w:hAnsi="Times New Roman" w:cs="Times New Roman"/>
          <w:b/>
          <w:sz w:val="26"/>
          <w:szCs w:val="26"/>
        </w:rPr>
        <w:t>проведены следующие работы: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>- Согласно поручения Минстроя КР №03/4796 от 01.07.2025 года</w:t>
      </w:r>
      <w:r w:rsidRPr="007E1756">
        <w:rPr>
          <w:rFonts w:ascii="Times New Roman" w:hAnsi="Times New Roman" w:cs="Times New Roman"/>
          <w:sz w:val="26"/>
          <w:szCs w:val="26"/>
        </w:rPr>
        <w:t>, 3 июля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 2025 года </w:t>
      </w:r>
      <w:r w:rsidRPr="007E1756">
        <w:rPr>
          <w:rFonts w:ascii="Times New Roman" w:hAnsi="Times New Roman" w:cs="Times New Roman"/>
          <w:sz w:val="26"/>
          <w:szCs w:val="26"/>
        </w:rPr>
        <w:t xml:space="preserve">в заседании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Технического совета по инвестиционным проектам </w:t>
      </w:r>
      <w:r w:rsidRPr="007E1756">
        <w:rPr>
          <w:rFonts w:ascii="Times New Roman" w:hAnsi="Times New Roman" w:cs="Times New Roman"/>
          <w:sz w:val="26"/>
          <w:szCs w:val="26"/>
        </w:rPr>
        <w:t>участвовал  - зам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директора А.А.Дуйшеев.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>- Согласно поручения Минстроя КР от 01.07.2025 года</w:t>
      </w:r>
      <w:r w:rsidRPr="007E1756">
        <w:rPr>
          <w:rFonts w:ascii="Times New Roman" w:hAnsi="Times New Roman" w:cs="Times New Roman"/>
          <w:sz w:val="26"/>
          <w:szCs w:val="26"/>
        </w:rPr>
        <w:t>, 10 июля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 2025 года </w:t>
      </w:r>
      <w:r w:rsidRPr="007E1756">
        <w:rPr>
          <w:rFonts w:ascii="Times New Roman" w:hAnsi="Times New Roman" w:cs="Times New Roman"/>
          <w:sz w:val="26"/>
          <w:szCs w:val="26"/>
        </w:rPr>
        <w:t xml:space="preserve">в совещании в рамках программы «Правительственные акселераторы» участвовала  -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зав.ОК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Р. А.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Доолотбаева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6"/>
          <w:szCs w:val="26"/>
          <w:lang w:val="ky-KG"/>
        </w:rPr>
      </w:pP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 xml:space="preserve">- Во исполнение поручение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Минстроя КР от 15.07.2025 года в совещании по вопросу выдачи разрешительных документов, 16 июля 2025 года от Института участвовали директор К.Т. Канболотов и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главный специалист - К.Н. Орунбекова.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</w:rPr>
        <w:t xml:space="preserve">- Согласно письма Минюста КР от 22 июля 2025 </w:t>
      </w:r>
      <w:r w:rsidR="00A944AB" w:rsidRPr="007E1756">
        <w:rPr>
          <w:rFonts w:ascii="Times New Roman" w:hAnsi="Times New Roman" w:cs="Times New Roman"/>
          <w:sz w:val="26"/>
          <w:szCs w:val="26"/>
        </w:rPr>
        <w:t>года на</w:t>
      </w:r>
      <w:r w:rsidRPr="007E1756">
        <w:rPr>
          <w:rFonts w:ascii="Times New Roman" w:hAnsi="Times New Roman" w:cs="Times New Roman"/>
          <w:sz w:val="26"/>
          <w:szCs w:val="26"/>
        </w:rPr>
        <w:t xml:space="preserve"> обучении по новации Закона КР «О государственной гражданской службе и об изменении в законодательстве КР в сфере порядка рассмотрения обращений граждан» - </w:t>
      </w:r>
      <w:bookmarkStart w:id="0" w:name="_GoBack"/>
      <w:bookmarkEnd w:id="0"/>
      <w:r w:rsidR="00A944AB" w:rsidRPr="007E1756">
        <w:rPr>
          <w:rFonts w:ascii="Times New Roman" w:hAnsi="Times New Roman" w:cs="Times New Roman"/>
          <w:sz w:val="26"/>
          <w:szCs w:val="26"/>
        </w:rPr>
        <w:t>участвовали -</w:t>
      </w:r>
      <w:r w:rsidRPr="007E17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E1756">
        <w:rPr>
          <w:rFonts w:ascii="Times New Roman" w:hAnsi="Times New Roman" w:cs="Times New Roman"/>
          <w:sz w:val="26"/>
          <w:szCs w:val="26"/>
        </w:rPr>
        <w:t>зав.ОК</w:t>
      </w:r>
      <w:proofErr w:type="spellEnd"/>
      <w:proofErr w:type="gramEnd"/>
      <w:r w:rsidRPr="007E1756">
        <w:rPr>
          <w:rFonts w:ascii="Times New Roman" w:hAnsi="Times New Roman" w:cs="Times New Roman"/>
          <w:sz w:val="26"/>
          <w:szCs w:val="26"/>
        </w:rPr>
        <w:t xml:space="preserve"> Р.А.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Доолотбаева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и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главный специалист - К.Н.Орунбекова.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</w:rPr>
        <w:t xml:space="preserve"> -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 xml:space="preserve">Во исполнение поручения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Минстроя КР от 23 июля 2025 года в совещании по вопросу выдачи разрешительных документов, 16 июля 2025 года от Института участвовал директор К.Т.Канболотов.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E1756">
        <w:rPr>
          <w:rFonts w:ascii="Times New Roman" w:hAnsi="Times New Roman" w:cs="Times New Roman"/>
          <w:sz w:val="26"/>
          <w:szCs w:val="26"/>
        </w:rPr>
        <w:t>Согласно письма Министерства энергетики КР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от 09.07.2025 года   в совещании по вопросу установки и эксплуатации солнечных электростанций на крышах государственных и коммерческих зданий,  25 июля 2025 года участвовал начальник Управления “Сесмостойкого строительства”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- Р.А. Мусаков.</w:t>
      </w:r>
    </w:p>
    <w:p w:rsidR="0079533C" w:rsidRPr="00966AA8" w:rsidRDefault="0079533C">
      <w:pPr>
        <w:rPr>
          <w:lang w:val="ky-KG"/>
        </w:rPr>
      </w:pPr>
    </w:p>
    <w:sectPr w:rsidR="0079533C" w:rsidRPr="00966AA8" w:rsidSect="00F26252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18C"/>
    <w:multiLevelType w:val="hybridMultilevel"/>
    <w:tmpl w:val="F79CD2BE"/>
    <w:lvl w:ilvl="0" w:tplc="AE7C53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7D94"/>
    <w:multiLevelType w:val="hybridMultilevel"/>
    <w:tmpl w:val="1E9A7446"/>
    <w:lvl w:ilvl="0" w:tplc="D9B6D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AA8"/>
    <w:rsid w:val="0079533C"/>
    <w:rsid w:val="00966AA8"/>
    <w:rsid w:val="009B7332"/>
    <w:rsid w:val="00A944AB"/>
    <w:rsid w:val="00A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47D"/>
  <w15:docId w15:val="{22D07B53-F8D2-4790-8817-FB12084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,Citation List,Bullet"/>
    <w:basedOn w:val="a"/>
    <w:link w:val="a4"/>
    <w:uiPriority w:val="34"/>
    <w:qFormat/>
    <w:rsid w:val="00966AA8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locked/>
    <w:rsid w:val="00966AA8"/>
  </w:style>
  <w:style w:type="table" w:styleId="a5">
    <w:name w:val="Table Grid"/>
    <w:basedOn w:val="a1"/>
    <w:uiPriority w:val="39"/>
    <w:rsid w:val="00966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Батырхан</cp:lastModifiedBy>
  <cp:revision>4</cp:revision>
  <dcterms:created xsi:type="dcterms:W3CDTF">2025-08-08T02:54:00Z</dcterms:created>
  <dcterms:modified xsi:type="dcterms:W3CDTF">2025-08-25T07:51:00Z</dcterms:modified>
</cp:coreProperties>
</file>